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4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Courier New" w:hAnsi="Courier New" w:cs="Courier New" w:eastAsia="Courier New"/>
          <w:color w:val="000000"/>
          <w:sz w:val="22"/>
        </w:rPr>
        <w:t xml:space="preserve">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о назначении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ru-RU"/>
        </w:rPr>
        <w:t xml:space="preserve">пособия на ребенка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 военнослужащего, проходящего военную службу по призыву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(орган, организация)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от 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(ФИО заявителя)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телефон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Прошу предоставить пособие на ребенка военнослужащего, проходящего военную службу по призыву на следующих детей: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10060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45"/>
        <w:gridCol w:w="2063"/>
        <w:gridCol w:w="1954"/>
        <w:gridCol w:w="3509"/>
        <w:gridCol w:w="198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Число, месяц и год рождения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о рождении (номер, дата и наименование органа, составившего запись)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ind w:left="0" w:right="-95" w:firstLine="0"/>
              <w:jc w:val="center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Род занятости ребенка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Сведения о составе семьи: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03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5"/>
        <w:gridCol w:w="958"/>
        <w:gridCol w:w="13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Степень родства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 и место рож-дения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Граж-данство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Место жительства (по паспорту и по месту пребывания)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Сведения о доходах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 о регистрации брака (номер, дата и наименование органа, составившего запись) - для супруга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Указывается одна из следующих категорий: мать, отец, супруг (супруга), несовершеннолетний ребенок, опекун.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2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пункте 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указываются сведения о заявителе.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2" name="Изображение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7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8,108000l107998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 на ребенка военнослужащего,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пособие на ребенка военнослужащего, проходящего военную службу по призыву 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выплачивать через кредитную организацию: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36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892"/>
        <w:gridCol w:w="46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ИНН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КПП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счета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Или: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1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3" name="Изображение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11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8,108000l107998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 на ребенка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военнослужащего, проходящего военную службу по призыву 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прошу выплачивать через почтовое отделение: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70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485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6"/>
        <w:gridCol w:w="566"/>
        <w:gridCol w:w="564"/>
        <w:gridCol w:w="427"/>
        <w:gridCol w:w="1317"/>
        <w:gridCol w:w="322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___”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Подпись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6662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13</cp:revision>
  <dcterms:created xsi:type="dcterms:W3CDTF">2019-12-23T05:56:00Z</dcterms:created>
  <dcterms:modified xsi:type="dcterms:W3CDTF">2020-10-27T11:18:26Z</dcterms:modified>
</cp:coreProperties>
</file>